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782E22ED" w:rsidR="00284901" w:rsidRPr="00284901" w:rsidRDefault="009669E6" w:rsidP="00284901">
      <w:pPr>
        <w:ind w:left="5529"/>
      </w:pPr>
      <w:r>
        <w:t xml:space="preserve">от </w:t>
      </w:r>
      <w:r w:rsidR="001B5663">
        <w:t>26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1B5663">
        <w:t>2</w:t>
      </w:r>
      <w:r w:rsidR="00284901" w:rsidRPr="00284901">
        <w:t xml:space="preserve"> года № </w:t>
      </w:r>
      <w:r>
        <w:t>1</w:t>
      </w:r>
      <w:r w:rsidR="00821909">
        <w:t>/202</w:t>
      </w:r>
      <w:r w:rsidR="001B5663">
        <w:t>2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65622BF2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Default="00120DDE" w:rsidP="00EA7E53">
      <w:pPr>
        <w:ind w:firstLine="709"/>
        <w:jc w:val="center"/>
        <w:rPr>
          <w:bCs/>
          <w:sz w:val="24"/>
          <w:szCs w:val="24"/>
        </w:rPr>
      </w:pPr>
    </w:p>
    <w:p w14:paraId="023CC35A" w14:textId="120FC60E" w:rsidR="00120DDE" w:rsidRPr="00120DDE" w:rsidRDefault="00120DDE" w:rsidP="00EA7E53">
      <w:pPr>
        <w:ind w:firstLine="709"/>
        <w:jc w:val="center"/>
        <w:rPr>
          <w:bCs/>
          <w:sz w:val="24"/>
          <w:szCs w:val="24"/>
        </w:rPr>
      </w:pPr>
      <w:r w:rsidRPr="00120DDE">
        <w:rPr>
          <w:bCs/>
          <w:sz w:val="24"/>
          <w:szCs w:val="24"/>
        </w:rPr>
        <w:t xml:space="preserve">(с учетом изменений, внесенных </w:t>
      </w:r>
      <w:r>
        <w:rPr>
          <w:bCs/>
          <w:sz w:val="24"/>
          <w:szCs w:val="24"/>
        </w:rPr>
        <w:t xml:space="preserve">в соответствии с </w:t>
      </w:r>
      <w:r w:rsidRPr="00120DDE">
        <w:rPr>
          <w:bCs/>
          <w:sz w:val="24"/>
          <w:szCs w:val="24"/>
        </w:rPr>
        <w:t>Порядком № 3/2022 от 31.03.2022 года)</w:t>
      </w:r>
    </w:p>
    <w:p w14:paraId="366CEF89" w14:textId="77777777" w:rsidR="001B3738" w:rsidRPr="00120DDE" w:rsidRDefault="001B3738" w:rsidP="001B3738">
      <w:pPr>
        <w:jc w:val="center"/>
        <w:rPr>
          <w:bCs/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33B341CD" w:rsidR="00EA7E53" w:rsidRDefault="001B5663" w:rsidP="00EA7E53">
      <w:pPr>
        <w:jc w:val="both"/>
        <w:rPr>
          <w:sz w:val="28"/>
        </w:rPr>
      </w:pPr>
      <w:r>
        <w:rPr>
          <w:sz w:val="28"/>
        </w:rPr>
        <w:t>26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>
        <w:rPr>
          <w:sz w:val="28"/>
        </w:rPr>
        <w:t>2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>
        <w:rPr>
          <w:sz w:val="28"/>
        </w:rPr>
        <w:t>2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6EB4421" w:rsidR="00262920" w:rsidRPr="00120DDE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694E17">
        <w:rPr>
          <w:sz w:val="28"/>
        </w:rPr>
        <w:t>2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694E17">
        <w:rPr>
          <w:sz w:val="28"/>
        </w:rPr>
        <w:t>26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694E17">
        <w:rPr>
          <w:sz w:val="28"/>
        </w:rPr>
        <w:t>2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</w:t>
      </w:r>
      <w:r w:rsidRPr="00120DD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  <w:r w:rsidR="00346794" w:rsidRPr="00120DDE">
        <w:rPr>
          <w:sz w:val="28"/>
        </w:rPr>
        <w:t>.</w:t>
      </w:r>
    </w:p>
    <w:p w14:paraId="1C94C0AB" w14:textId="77777777" w:rsidR="00A71144" w:rsidRPr="00120DDE" w:rsidRDefault="00346794" w:rsidP="00923464">
      <w:pPr>
        <w:jc w:val="both"/>
      </w:pPr>
      <w:r w:rsidRPr="00120DDE">
        <w:tab/>
      </w:r>
    </w:p>
    <w:p w14:paraId="01AE8A4B" w14:textId="46D4F69E" w:rsidR="00E952C5" w:rsidRPr="00120DDE" w:rsidRDefault="00346794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2.</w:t>
      </w:r>
      <w:bookmarkEnd w:id="0"/>
      <w:r w:rsidR="00E952C5" w:rsidRPr="00120DDE">
        <w:rPr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120DDE" w:rsidRDefault="00E952C5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120DDE">
          <w:rPr>
            <w:rStyle w:val="a3"/>
            <w:sz w:val="28"/>
            <w:szCs w:val="28"/>
          </w:rPr>
          <w:t>https://www.ffoms.gov.ru/</w:t>
        </w:r>
      </w:hyperlink>
      <w:r w:rsidRPr="00120DDE">
        <w:rPr>
          <w:sz w:val="28"/>
          <w:szCs w:val="28"/>
        </w:rPr>
        <w:t>).</w:t>
      </w:r>
    </w:p>
    <w:p w14:paraId="53558DAE" w14:textId="7305D98C" w:rsidR="00AF4E7D" w:rsidRPr="00120DDE" w:rsidRDefault="00356110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2.1. </w:t>
      </w:r>
      <w:r w:rsidR="00AF4E7D" w:rsidRPr="00120DDE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>– Q015</w:t>
      </w:r>
      <w:r w:rsidRPr="00120DDE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Q016</w:t>
      </w:r>
      <w:r w:rsidRPr="00120DDE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Q022</w:t>
      </w:r>
      <w:r w:rsidRPr="00120DDE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Q023</w:t>
      </w:r>
      <w:r w:rsidRPr="00120DDE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Установить, что </w:t>
      </w:r>
      <w:r w:rsidRPr="00120DDE">
        <w:rPr>
          <w:b/>
          <w:bCs/>
          <w:sz w:val="28"/>
          <w:szCs w:val="28"/>
        </w:rPr>
        <w:t xml:space="preserve">медицинские организации </w:t>
      </w:r>
      <w:r w:rsidR="00172BB9" w:rsidRPr="00120DDE">
        <w:rPr>
          <w:b/>
          <w:bCs/>
          <w:sz w:val="28"/>
          <w:szCs w:val="28"/>
        </w:rPr>
        <w:t xml:space="preserve">ежемесячно в установленные сроки </w:t>
      </w:r>
      <w:r w:rsidR="004D27EB" w:rsidRPr="00120DDE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120DDE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120DDE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120DDE">
        <w:rPr>
          <w:sz w:val="28"/>
          <w:szCs w:val="28"/>
        </w:rPr>
        <w:t xml:space="preserve"> исправить выявленные нарушения и</w:t>
      </w:r>
      <w:r w:rsidRPr="00120DDE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120DDE">
        <w:rPr>
          <w:sz w:val="28"/>
          <w:szCs w:val="28"/>
        </w:rPr>
        <w:t>, которые не могут быть исправлены в оперативном порядке</w:t>
      </w:r>
      <w:r w:rsidRPr="00120DDE">
        <w:rPr>
          <w:sz w:val="28"/>
          <w:szCs w:val="28"/>
        </w:rPr>
        <w:t xml:space="preserve">.  </w:t>
      </w:r>
      <w:r w:rsidR="00817380" w:rsidRPr="00120DDE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120DDE">
        <w:rPr>
          <w:sz w:val="28"/>
          <w:szCs w:val="28"/>
        </w:rPr>
        <w:t xml:space="preserve"> </w:t>
      </w:r>
      <w:r w:rsidR="004D27EB" w:rsidRPr="00120DDE">
        <w:rPr>
          <w:sz w:val="28"/>
          <w:szCs w:val="28"/>
        </w:rPr>
        <w:t>Все случаи, содержащие дефекты оформления</w:t>
      </w:r>
      <w:r w:rsidR="000259EB" w:rsidRPr="00120DDE">
        <w:rPr>
          <w:sz w:val="28"/>
          <w:szCs w:val="28"/>
        </w:rPr>
        <w:t>,</w:t>
      </w:r>
      <w:r w:rsidR="004D27EB" w:rsidRPr="00120DDE">
        <w:rPr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</w:rPr>
        <w:t xml:space="preserve">Установить, что код дефекта </w:t>
      </w:r>
      <w:r w:rsidR="008B7274" w:rsidRPr="00120DDE">
        <w:rPr>
          <w:sz w:val="28"/>
        </w:rPr>
        <w:t>1</w:t>
      </w:r>
      <w:r w:rsidRPr="00120DDE">
        <w:rPr>
          <w:sz w:val="28"/>
        </w:rPr>
        <w:t>.</w:t>
      </w:r>
      <w:r w:rsidR="008B7274" w:rsidRPr="00120DDE">
        <w:rPr>
          <w:sz w:val="28"/>
        </w:rPr>
        <w:t>4</w:t>
      </w:r>
      <w:r w:rsidRPr="00120DDE">
        <w:rPr>
          <w:sz w:val="28"/>
        </w:rPr>
        <w:t xml:space="preserve">.6 </w:t>
      </w:r>
      <w:r w:rsidRPr="00120DDE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120DDE">
        <w:rPr>
          <w:sz w:val="28"/>
          <w:szCs w:val="28"/>
        </w:rPr>
        <w:t>территориальным фондом ОМС Камчатского края</w:t>
      </w:r>
      <w:r w:rsidRPr="00120DDE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015,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016,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022,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120DDE">
        <w:rPr>
          <w:sz w:val="28"/>
          <w:szCs w:val="28"/>
        </w:rPr>
        <w:t xml:space="preserve">МС Камчатского края не позднее </w:t>
      </w:r>
      <w:r w:rsidR="00143FFE" w:rsidRPr="00120DDE">
        <w:rPr>
          <w:sz w:val="28"/>
          <w:szCs w:val="28"/>
        </w:rPr>
        <w:t>5</w:t>
      </w:r>
      <w:r w:rsidRPr="00120DDE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120DDE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120DDE">
        <w:rPr>
          <w:sz w:val="28"/>
        </w:rPr>
        <w:t>об установлении тарифов</w:t>
      </w:r>
      <w:r w:rsidRPr="00A90836">
        <w:rPr>
          <w:sz w:val="28"/>
        </w:rPr>
        <w:t xml:space="preserve">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750ABCE2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медицинскими организациями по Перечню, установленному приложением 1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071E9A92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медицинскими организациями по Перечню, установленному приложением 1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6E507D" w:rsidRPr="00A90836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E507D" w:rsidRDefault="006E507D" w:rsidP="006E507D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E507D">
              <w:rPr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EF03CB5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E38DDED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A90836">
              <w:rPr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FA7B63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 xml:space="preserve">, </w:t>
            </w:r>
            <w:r w:rsidRPr="00A90836">
              <w:rPr>
                <w:sz w:val="24"/>
                <w:szCs w:val="24"/>
              </w:rPr>
              <w:lastRenderedPageBreak/>
              <w:t>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r w:rsidRPr="00A90836">
              <w:rPr>
                <w:sz w:val="24"/>
                <w:szCs w:val="24"/>
              </w:rPr>
              <w:t>1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1E3B0731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79619B77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07FB4AF0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8B7274">
        <w:rPr>
          <w:sz w:val="28"/>
          <w:szCs w:val="28"/>
        </w:rPr>
        <w:t>2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A90836">
        <w:rPr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02.003 «Родоразрешение»,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02.004 «Кесарево сечение»,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 xml:space="preserve">02.004 «Кесарево сечение», </w:t>
      </w:r>
      <w:r w:rsidRPr="00A90836">
        <w:rPr>
          <w:sz w:val="28"/>
          <w:szCs w:val="28"/>
          <w:lang w:val="en-US"/>
        </w:rPr>
        <w:t>st</w:t>
      </w:r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1E080DA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 1/202</w:t>
      </w:r>
      <w:r w:rsidR="00A60EC9">
        <w:rPr>
          <w:rStyle w:val="10"/>
          <w:rFonts w:ascii="Times New Roman" w:hAnsi="Times New Roman"/>
          <w:sz w:val="28"/>
          <w:szCs w:val="28"/>
        </w:rPr>
        <w:t>2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44C0B471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lastRenderedPageBreak/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A60EC9">
        <w:rPr>
          <w:sz w:val="28"/>
        </w:rPr>
        <w:t>2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6B7D8889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A60EC9">
        <w:rPr>
          <w:sz w:val="28"/>
        </w:rPr>
        <w:t>2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048FF9D8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</w:t>
      </w:r>
      <w:r w:rsidRPr="003D5E7C">
        <w:rPr>
          <w:sz w:val="28"/>
        </w:rPr>
        <w:lastRenderedPageBreak/>
        <w:t xml:space="preserve">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AF352C">
        <w:rPr>
          <w:sz w:val="28"/>
          <w:szCs w:val="28"/>
        </w:rPr>
        <w:t>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65614C56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AF352C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62A90E8B" w14:textId="539F3072" w:rsidR="00817380" w:rsidRPr="00A90836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  <w:r w:rsidR="00817380">
        <w:rPr>
          <w:sz w:val="28"/>
          <w:szCs w:val="28"/>
        </w:rPr>
        <w:t xml:space="preserve">5.1. </w:t>
      </w:r>
      <w:r w:rsidR="00817380"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17380" w:rsidRPr="008F6E9F">
        <w:rPr>
          <w:sz w:val="28"/>
        </w:rPr>
        <w:t xml:space="preserve"> (</w:t>
      </w:r>
      <w:r w:rsidR="00817380">
        <w:rPr>
          <w:sz w:val="28"/>
        </w:rPr>
        <w:t xml:space="preserve">за исключением </w:t>
      </w:r>
      <w:r w:rsidR="00817380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17380">
        <w:rPr>
          <w:sz w:val="28"/>
        </w:rPr>
        <w:t xml:space="preserve"> </w:t>
      </w:r>
      <w:r w:rsidR="00817380" w:rsidRPr="00A90836">
        <w:rPr>
          <w:sz w:val="28"/>
        </w:rPr>
        <w:t>обязательно заполнение элемента «</w:t>
      </w:r>
      <w:r w:rsidR="00817380" w:rsidRPr="00A90836">
        <w:rPr>
          <w:sz w:val="28"/>
          <w:lang w:val="en-US"/>
        </w:rPr>
        <w:t>P</w:t>
      </w:r>
      <w:r w:rsidR="00817380" w:rsidRPr="00A90836">
        <w:rPr>
          <w:sz w:val="28"/>
        </w:rPr>
        <w:t>_</w:t>
      </w:r>
      <w:r w:rsidR="00817380" w:rsidRPr="00A90836">
        <w:rPr>
          <w:sz w:val="28"/>
          <w:lang w:val="en-US"/>
        </w:rPr>
        <w:t>CEL</w:t>
      </w:r>
      <w:r w:rsidR="00817380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Посещениe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3D4932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</w:t>
            </w:r>
            <w:r w:rsidR="00AF352C">
              <w:t>2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 xml:space="preserve"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</w:t>
            </w:r>
            <w:r w:rsidRPr="00B21CCB">
              <w:lastRenderedPageBreak/>
              <w:t>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>с кратностью не менее двух 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122DECBE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>посещений с профилактической целью в обязательном порядке заполняется элемент «CODE_USL</w:t>
      </w:r>
      <w:r w:rsidR="00AF352C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>од услуги «В04.026.002» для среднего медицинского персонала, ведущего самостоятельный прием (за исключением зубного врача), для  зубного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 xml:space="preserve">элемент «TARIF – </w:t>
      </w:r>
      <w:r w:rsidRPr="00A90836">
        <w:rPr>
          <w:sz w:val="28"/>
        </w:rPr>
        <w:lastRenderedPageBreak/>
        <w:t>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(иммунотурбодиметрический количественный тест), а также исследований уровня простатспецифического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6B8B9ABB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</w:t>
      </w:r>
      <w:r w:rsidRPr="00A90836">
        <w:rPr>
          <w:sz w:val="28"/>
        </w:rPr>
        <w:lastRenderedPageBreak/>
        <w:t>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7C43AD" w:rsidRPr="007C43AD">
        <w:rPr>
          <w:sz w:val="28"/>
        </w:rPr>
        <w:t>2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0FB5D04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43784A" w:rsidRPr="0043784A">
        <w:rPr>
          <w:sz w:val="28"/>
          <w:szCs w:val="28"/>
        </w:rPr>
        <w:t>31</w:t>
      </w:r>
      <w:r w:rsidR="00C627CC">
        <w:rPr>
          <w:sz w:val="28"/>
          <w:szCs w:val="28"/>
        </w:rPr>
        <w:t xml:space="preserve">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отсутствие 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кровь,  осмотра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</w:t>
      </w:r>
      <w:r w:rsidRPr="003B62A7">
        <w:rPr>
          <w:sz w:val="28"/>
          <w:szCs w:val="28"/>
        </w:rPr>
        <w:lastRenderedPageBreak/>
        <w:t>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3BAF2D5C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2) исполнитель централизованных услуг формирует реестр счета (отдельный файл  в соответствии с таблицей Д1) на оплату услуг по тарифу, установленному в соответствии с Соглашением № 1/202</w:t>
      </w:r>
      <w:r w:rsidR="00AF352C">
        <w:rPr>
          <w:sz w:val="28"/>
          <w:szCs w:val="28"/>
        </w:rPr>
        <w:t>2</w:t>
      </w:r>
      <w:r w:rsidRPr="003B62A7">
        <w:rPr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Оплата страховой медицинской организацией централизованных услуг осуществляется только после поступления в страховую медицинскую </w:t>
      </w:r>
      <w:r w:rsidRPr="003B62A7">
        <w:rPr>
          <w:sz w:val="28"/>
          <w:szCs w:val="28"/>
        </w:rPr>
        <w:lastRenderedPageBreak/>
        <w:t>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0452FB83" w:rsidR="00FD28EB" w:rsidRPr="00A90836" w:rsidRDefault="00FD28EB" w:rsidP="00B825F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B825F2">
        <w:rPr>
          <w:sz w:val="28"/>
          <w:szCs w:val="28"/>
        </w:rPr>
        <w:t xml:space="preserve"> </w:t>
      </w:r>
      <w:r w:rsidR="00B825F2" w:rsidRPr="00B825F2">
        <w:rPr>
          <w:sz w:val="28"/>
          <w:szCs w:val="28"/>
        </w:rPr>
        <w:t>в соответствии с</w:t>
      </w:r>
      <w:r w:rsidR="00B825F2">
        <w:t xml:space="preserve"> </w:t>
      </w:r>
      <w:r w:rsidR="00B825F2">
        <w:rPr>
          <w:rFonts w:eastAsiaTheme="minorHAnsi"/>
          <w:sz w:val="28"/>
          <w:szCs w:val="28"/>
          <w:lang w:eastAsia="en-US"/>
        </w:rPr>
        <w:t>По</w:t>
      </w:r>
      <w:r w:rsidR="00B825F2" w:rsidRPr="00B825F2">
        <w:rPr>
          <w:rFonts w:eastAsiaTheme="minorHAnsi"/>
          <w:sz w:val="28"/>
          <w:szCs w:val="28"/>
          <w:lang w:eastAsia="en-US"/>
        </w:rPr>
        <w:t>рядк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диспансерного наблюдения за взрослыми с онкологическими заболеваниями</w:t>
      </w:r>
      <w:r w:rsidR="00B825F2">
        <w:rPr>
          <w:rFonts w:eastAsiaTheme="minorHAnsi"/>
          <w:sz w:val="28"/>
          <w:szCs w:val="28"/>
          <w:lang w:eastAsia="en-US"/>
        </w:rPr>
        <w:t>, утвержденным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Приказ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Минздрава России от 04.06.2020 </w:t>
      </w:r>
      <w:r w:rsidR="00B825F2">
        <w:rPr>
          <w:rFonts w:eastAsiaTheme="minorHAnsi"/>
          <w:sz w:val="28"/>
          <w:szCs w:val="28"/>
          <w:lang w:eastAsia="en-US"/>
        </w:rPr>
        <w:t>№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548н</w:t>
      </w:r>
      <w:r w:rsidR="00B825F2">
        <w:rPr>
          <w:rFonts w:eastAsiaTheme="minorHAnsi"/>
          <w:sz w:val="28"/>
          <w:szCs w:val="28"/>
          <w:lang w:eastAsia="en-US"/>
        </w:rPr>
        <w:t xml:space="preserve">,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»=29</w:t>
      </w:r>
      <w:r w:rsidR="00FB690F" w:rsidRPr="00A90836">
        <w:rPr>
          <w:sz w:val="28"/>
          <w:szCs w:val="28"/>
        </w:rPr>
        <w:t>.</w:t>
      </w:r>
    </w:p>
    <w:p w14:paraId="196128CB" w14:textId="78F8D38B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</w:t>
      </w:r>
      <w:r w:rsidR="00B825F2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 значения </w:t>
      </w:r>
      <w:r w:rsidR="00FB690F" w:rsidRPr="00A90836">
        <w:rPr>
          <w:sz w:val="28"/>
          <w:szCs w:val="28"/>
        </w:rPr>
        <w:lastRenderedPageBreak/>
        <w:t>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</w:t>
      </w:r>
      <w:r w:rsidR="00276335">
        <w:rPr>
          <w:sz w:val="28"/>
          <w:szCs w:val="28"/>
        </w:rPr>
        <w:t>2</w:t>
      </w:r>
      <w:r w:rsidR="00817380">
        <w:rPr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</w:t>
      </w:r>
      <w:r w:rsidR="00660ABD" w:rsidRPr="00FD7BCF">
        <w:rPr>
          <w:sz w:val="28"/>
          <w:szCs w:val="28"/>
        </w:rPr>
        <w:lastRenderedPageBreak/>
        <w:t xml:space="preserve">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 </w:t>
      </w:r>
      <w:r w:rsidR="00660ABD" w:rsidRPr="00FD7BCF">
        <w:rPr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CAABF67" w14:textId="570009AD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) посещение пациентом смотрового кабинета по коду МКБ-10 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>
        <w:rPr>
          <w:sz w:val="28"/>
          <w:szCs w:val="28"/>
        </w:rPr>
        <w:t>услуг</w:t>
      </w:r>
      <w:r w:rsidR="00FB690F" w:rsidRPr="00A90836">
        <w:rPr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A90836">
        <w:rPr>
          <w:sz w:val="28"/>
          <w:szCs w:val="16"/>
        </w:rPr>
        <w:t>элемента «</w:t>
      </w:r>
      <w:r w:rsidR="00FB690F" w:rsidRPr="00A90836">
        <w:rPr>
          <w:sz w:val="28"/>
          <w:szCs w:val="16"/>
          <w:lang w:val="en-US"/>
        </w:rPr>
        <w:t>P</w:t>
      </w:r>
      <w:r w:rsidR="00FB690F" w:rsidRPr="00A90836">
        <w:rPr>
          <w:sz w:val="28"/>
          <w:szCs w:val="16"/>
        </w:rPr>
        <w:t>_</w:t>
      </w:r>
      <w:r w:rsidR="00FB690F" w:rsidRPr="00A90836">
        <w:rPr>
          <w:sz w:val="28"/>
          <w:szCs w:val="16"/>
          <w:lang w:val="en-US"/>
        </w:rPr>
        <w:t>CEL</w:t>
      </w:r>
      <w:r w:rsidR="00FB690F" w:rsidRPr="00A90836">
        <w:rPr>
          <w:sz w:val="28"/>
          <w:szCs w:val="16"/>
        </w:rPr>
        <w:t>» = 3.0 – Обращение по заболеванию;</w:t>
      </w:r>
    </w:p>
    <w:p w14:paraId="1E7635FA" w14:textId="4274DCEA" w:rsidR="00FB690F" w:rsidRPr="00A90836" w:rsidRDefault="00466579" w:rsidP="00FB69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90F" w:rsidRPr="00AC27CF">
        <w:rPr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="00FB690F" w:rsidRPr="00AC27CF">
        <w:rPr>
          <w:sz w:val="28"/>
          <w:szCs w:val="28"/>
        </w:rPr>
        <w:t xml:space="preserve"> элемента </w:t>
      </w:r>
      <w:r w:rsidR="00FB690F" w:rsidRPr="00AC27CF">
        <w:rPr>
          <w:b/>
          <w:bCs/>
          <w:sz w:val="28"/>
          <w:szCs w:val="28"/>
        </w:rPr>
        <w:t>«</w:t>
      </w:r>
      <w:r w:rsidR="00FB690F" w:rsidRPr="00AC27CF">
        <w:rPr>
          <w:b/>
          <w:bCs/>
          <w:sz w:val="28"/>
          <w:szCs w:val="28"/>
          <w:lang w:val="en-US"/>
        </w:rPr>
        <w:t>ED</w:t>
      </w:r>
      <w:r w:rsidR="00FB690F" w:rsidRPr="00AC27CF">
        <w:rPr>
          <w:b/>
          <w:bCs/>
          <w:sz w:val="28"/>
          <w:szCs w:val="28"/>
        </w:rPr>
        <w:t>_</w:t>
      </w:r>
      <w:r w:rsidR="00FB690F" w:rsidRPr="00AC27CF">
        <w:rPr>
          <w:b/>
          <w:bCs/>
          <w:sz w:val="28"/>
          <w:szCs w:val="28"/>
          <w:lang w:val="en-US"/>
        </w:rPr>
        <w:t>COL</w:t>
      </w:r>
      <w:r w:rsidR="00FB690F"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="00FB690F"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="00FB690F"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="00FB690F"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="00FB690F"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="00FB690F" w:rsidRPr="00AC27CF">
        <w:rPr>
          <w:sz w:val="28"/>
          <w:szCs w:val="28"/>
        </w:rPr>
        <w:t xml:space="preserve">. При этом в случаях, когда в рамках обращения одновременно </w:t>
      </w:r>
      <w:r w:rsidR="00FB690F" w:rsidRPr="00AC27CF">
        <w:rPr>
          <w:sz w:val="28"/>
          <w:szCs w:val="28"/>
        </w:rPr>
        <w:lastRenderedPageBreak/>
        <w:t>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AC27CF">
        <w:rPr>
          <w:sz w:val="28"/>
          <w:szCs w:val="28"/>
          <w:lang w:val="en-US"/>
        </w:rPr>
        <w:t>DS</w:t>
      </w:r>
      <w:r w:rsidR="00FB690F" w:rsidRPr="00AC27CF">
        <w:rPr>
          <w:sz w:val="28"/>
          <w:szCs w:val="28"/>
        </w:rPr>
        <w:t>1».</w:t>
      </w:r>
      <w:r w:rsidR="00FB690F"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A90836" w:rsidRDefault="00466579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90F" w:rsidRPr="00A90836">
        <w:rPr>
          <w:sz w:val="28"/>
          <w:szCs w:val="28"/>
        </w:rPr>
        <w:t>) в электронной форме реестра счета в сведениях о случае элемент «</w:t>
      </w:r>
      <w:r w:rsidR="00FB690F" w:rsidRPr="00A90836">
        <w:rPr>
          <w:sz w:val="28"/>
          <w:szCs w:val="28"/>
          <w:lang w:val="en-US"/>
        </w:rPr>
        <w:t>TARIF</w:t>
      </w:r>
      <w:r w:rsidR="00FB690F"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A90836">
        <w:rPr>
          <w:sz w:val="28"/>
        </w:rPr>
        <w:t>(значение элемента «</w:t>
      </w:r>
      <w:r w:rsidR="00FB690F" w:rsidRPr="00A90836">
        <w:rPr>
          <w:sz w:val="28"/>
          <w:lang w:val="en-US"/>
        </w:rPr>
        <w:t>SUM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M</w:t>
      </w:r>
      <w:r w:rsidR="00FB690F" w:rsidRPr="00A90836">
        <w:rPr>
          <w:sz w:val="28"/>
        </w:rPr>
        <w:t xml:space="preserve">) </w:t>
      </w:r>
      <w:r w:rsidR="00FB690F"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414B0D4E" w:rsidR="00FB690F" w:rsidRPr="00A90836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в электронной форме реестра счета в сведениях об услуге:</w:t>
      </w:r>
    </w:p>
    <w:p w14:paraId="1B3E7C41" w14:textId="728FE87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4079293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2924D69A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466579">
        <w:rPr>
          <w:sz w:val="28"/>
        </w:rPr>
        <w:t>2</w:t>
      </w:r>
      <w:r w:rsidRPr="00AC27CF">
        <w:rPr>
          <w:sz w:val="28"/>
        </w:rPr>
        <w:t>;</w:t>
      </w:r>
    </w:p>
    <w:p w14:paraId="47142D74" w14:textId="73E6227F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</w:t>
      </w:r>
      <w:r w:rsidRPr="00A90836">
        <w:rPr>
          <w:sz w:val="28"/>
        </w:rPr>
        <w:lastRenderedPageBreak/>
        <w:t xml:space="preserve">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A90836">
        <w:rPr>
          <w:sz w:val="28"/>
          <w:szCs w:val="28"/>
        </w:rPr>
        <w:t>=</w:t>
      </w:r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«IDSP»=</w:t>
      </w:r>
      <w:r w:rsidR="0043784A" w:rsidRPr="0043784A">
        <w:rPr>
          <w:sz w:val="28"/>
          <w:szCs w:val="28"/>
        </w:rPr>
        <w:t>31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4260C8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r w:rsidR="0043784A" w:rsidRPr="00E952C5"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«IDSP»=</w:t>
      </w:r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</w:t>
      </w:r>
      <w:r w:rsidRPr="00A90836">
        <w:rPr>
          <w:sz w:val="28"/>
          <w:szCs w:val="28"/>
        </w:rPr>
        <w:lastRenderedPageBreak/>
        <w:t>законодательством сроки и подаются к оплате в общем счете по тарифам с учетом Кподуш. В данных случаях значение элемента «</w:t>
      </w:r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79C21D72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F228D3">
        <w:rPr>
          <w:rStyle w:val="10"/>
          <w:rFonts w:ascii="Times New Roman" w:hAnsi="Times New Roman"/>
          <w:sz w:val="28"/>
          <w:szCs w:val="28"/>
        </w:rPr>
        <w:t>2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785B0135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F228D3">
        <w:rPr>
          <w:sz w:val="28"/>
        </w:rPr>
        <w:t>2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– коэффициент затратоемкости;</w:t>
      </w:r>
    </w:p>
    <w:p w14:paraId="5371F731" w14:textId="381BD4AC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 xml:space="preserve">» – </w:t>
      </w:r>
      <w:r w:rsidRPr="00E33BD8">
        <w:rPr>
          <w:strike/>
          <w:sz w:val="28"/>
        </w:rPr>
        <w:t>управленческий коэффициент</w:t>
      </w:r>
      <w:r w:rsidR="00E33BD8" w:rsidRPr="00E33BD8">
        <w:rPr>
          <w:sz w:val="28"/>
          <w:szCs w:val="28"/>
        </w:rPr>
        <w:t xml:space="preserve"> </w:t>
      </w:r>
      <w:r w:rsidR="00E33BD8" w:rsidRPr="00D44AF0">
        <w:rPr>
          <w:sz w:val="28"/>
          <w:szCs w:val="28"/>
        </w:rPr>
        <w:t>коэффициент специфики</w:t>
      </w:r>
      <w:r w:rsidRPr="00A90836">
        <w:rPr>
          <w:sz w:val="28"/>
        </w:rPr>
        <w:t>;</w:t>
      </w:r>
      <w:r w:rsidR="00E33BD8">
        <w:rPr>
          <w:rStyle w:val="ab"/>
          <w:sz w:val="28"/>
        </w:rPr>
        <w:footnoteReference w:id="1"/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75483E2F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7C43AD" w:rsidRPr="007C43AD">
        <w:rPr>
          <w:sz w:val="28"/>
        </w:rPr>
        <w:t>2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«CODE_MES2», соответствующий признаку длительности случая со значением:</w:t>
      </w:r>
    </w:p>
    <w:p w14:paraId="29A6DCF3" w14:textId="3CD3DA82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«1» – для законченного случая, </w:t>
      </w:r>
    </w:p>
    <w:p w14:paraId="017719A5" w14:textId="5A38E878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«21» – для прерванного, в том числе сверхкороткого, случая длительностью </w:t>
      </w:r>
      <w:r w:rsidR="00F228D3" w:rsidRPr="00CA2C1A">
        <w:rPr>
          <w:strike/>
          <w:sz w:val="28"/>
        </w:rPr>
        <w:t>до</w:t>
      </w:r>
      <w:r w:rsidRPr="00CA2C1A">
        <w:rPr>
          <w:strike/>
          <w:sz w:val="28"/>
        </w:rPr>
        <w:t xml:space="preserve"> 3 дней с оплатой 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>0% от стоимости соответствующей КСГ;</w:t>
      </w:r>
    </w:p>
    <w:p w14:paraId="511F72DE" w14:textId="46EF4181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«22» – для </w:t>
      </w:r>
      <w:r w:rsidR="00BD675B" w:rsidRPr="00CA2C1A">
        <w:rPr>
          <w:strike/>
          <w:sz w:val="28"/>
        </w:rPr>
        <w:t>сверхкороткого</w:t>
      </w:r>
      <w:r w:rsidRPr="00CA2C1A">
        <w:rPr>
          <w:strike/>
          <w:sz w:val="28"/>
        </w:rPr>
        <w:t xml:space="preserve"> случая длительн</w:t>
      </w:r>
      <w:r w:rsidR="00BD675B" w:rsidRPr="00CA2C1A">
        <w:rPr>
          <w:strike/>
          <w:sz w:val="28"/>
        </w:rPr>
        <w:t xml:space="preserve">остью </w:t>
      </w:r>
      <w:r w:rsidR="00F228D3" w:rsidRPr="00CA2C1A">
        <w:rPr>
          <w:strike/>
          <w:sz w:val="28"/>
        </w:rPr>
        <w:t>от</w:t>
      </w:r>
      <w:r w:rsidR="00BD675B" w:rsidRPr="00CA2C1A">
        <w:rPr>
          <w:strike/>
          <w:sz w:val="28"/>
        </w:rPr>
        <w:t xml:space="preserve"> 3</w:t>
      </w:r>
      <w:r w:rsidR="00F228D3" w:rsidRPr="00CA2C1A">
        <w:rPr>
          <w:strike/>
          <w:sz w:val="28"/>
        </w:rPr>
        <w:t xml:space="preserve"> до 5</w:t>
      </w:r>
      <w:r w:rsidR="00BD675B" w:rsidRPr="00CA2C1A">
        <w:rPr>
          <w:strike/>
          <w:sz w:val="28"/>
        </w:rPr>
        <w:t xml:space="preserve"> дней включительно</w:t>
      </w:r>
      <w:r w:rsidRPr="00CA2C1A">
        <w:rPr>
          <w:strike/>
          <w:sz w:val="28"/>
        </w:rPr>
        <w:t xml:space="preserve"> с оплатой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>0% от стоимости соответствующей КСГ;</w:t>
      </w:r>
    </w:p>
    <w:p w14:paraId="12FCF95E" w14:textId="3FB9B787" w:rsidR="00BD675B" w:rsidRDefault="00BD675B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 xml:space="preserve">» - для прерванного случая длительностью более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 xml:space="preserve"> дней с оплатой </w:t>
      </w:r>
      <w:r w:rsidR="00F228D3" w:rsidRPr="00CA2C1A">
        <w:rPr>
          <w:strike/>
          <w:sz w:val="28"/>
        </w:rPr>
        <w:t>8</w:t>
      </w:r>
      <w:r w:rsidRPr="00CA2C1A">
        <w:rPr>
          <w:strike/>
          <w:sz w:val="28"/>
        </w:rPr>
        <w:t>0% от стоимости соответствующей КСГ</w:t>
      </w:r>
      <w:r w:rsidR="00F228D3" w:rsidRPr="00CA2C1A">
        <w:rPr>
          <w:strike/>
          <w:sz w:val="28"/>
        </w:rPr>
        <w:t>.</w:t>
      </w:r>
    </w:p>
    <w:p w14:paraId="713262F9" w14:textId="258A2386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1DD8DA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КСГ;</w:t>
      </w:r>
    </w:p>
    <w:p w14:paraId="4B912D0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r w:rsidRPr="00D44AF0">
        <w:rPr>
          <w:sz w:val="28"/>
        </w:rPr>
        <w:lastRenderedPageBreak/>
        <w:t>тромболитической терапии с оплатой 80% от стоимости соответствующей КСГ;</w:t>
      </w:r>
    </w:p>
    <w:p w14:paraId="1B78E65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КСГ;</w:t>
      </w:r>
    </w:p>
    <w:p w14:paraId="612D44B6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тромболитической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КСГ;</w:t>
      </w:r>
    </w:p>
    <w:p w14:paraId="52C29846" w14:textId="1CBC5939" w:rsidR="00CA2C1A" w:rsidRPr="00CA2C1A" w:rsidRDefault="00CA2C1A" w:rsidP="00CA2C1A">
      <w:pPr>
        <w:ind w:firstLine="708"/>
        <w:jc w:val="both"/>
        <w:rPr>
          <w:strike/>
          <w:sz w:val="28"/>
        </w:rPr>
      </w:pPr>
      <w:r w:rsidRPr="00D44AF0">
        <w:rPr>
          <w:sz w:val="28"/>
        </w:rPr>
        <w:t>«4» – для сверхдлительной госпитализации.</w:t>
      </w:r>
      <w:r>
        <w:rPr>
          <w:rStyle w:val="ab"/>
          <w:sz w:val="28"/>
        </w:rPr>
        <w:footnoteReference w:id="2"/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Excel,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103EE52C" w:rsidR="00C13744" w:rsidRPr="00A90836" w:rsidRDefault="00144DCD" w:rsidP="00C13744">
      <w:pPr>
        <w:ind w:firstLine="708"/>
        <w:jc w:val="both"/>
        <w:rPr>
          <w:sz w:val="28"/>
        </w:rPr>
      </w:pPr>
      <w:bookmarkStart w:id="5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2503C1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5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7D4A727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 xml:space="preserve">«1» – для законченного случая, </w:t>
      </w:r>
    </w:p>
    <w:p w14:paraId="641D7282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«21» – для прерванного, в том числе сверхкороткого, случая длительностью до 3 дней с оплатой 30% от стоимости соответствующей КСГ;</w:t>
      </w:r>
    </w:p>
    <w:p w14:paraId="58BEE248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«22» – для сверхкороткого случая длительностью от 3 до 5 дней включительно с оплатой 50% от стоимости соответствующей КСГ;</w:t>
      </w:r>
    </w:p>
    <w:p w14:paraId="2DFBC411" w14:textId="39295AC2" w:rsidR="002503C1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lastRenderedPageBreak/>
        <w:t>«3» - для прерванного случая длительностью более 5 дней с оплатой 80% от стоимости соответствующей КСГ.</w:t>
      </w:r>
    </w:p>
    <w:p w14:paraId="1339DE44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E109E90" w14:textId="77777777" w:rsidR="00905D63" w:rsidRPr="00D44AF0" w:rsidRDefault="00905D63" w:rsidP="00905D63">
      <w:pPr>
        <w:ind w:firstLine="708"/>
        <w:jc w:val="both"/>
        <w:rPr>
          <w:sz w:val="28"/>
          <w:szCs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D44AF0">
        <w:rPr>
          <w:sz w:val="28"/>
          <w:szCs w:val="28"/>
        </w:rPr>
        <w:t>при невыполнении хирургического вмешательства и (или) тромболитической терапии с оплатой 20% от стоимости соответствующей КСГ;</w:t>
      </w:r>
    </w:p>
    <w:p w14:paraId="4E9FB535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КСГ;</w:t>
      </w:r>
    </w:p>
    <w:p w14:paraId="5FF78340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КСГ;</w:t>
      </w:r>
    </w:p>
    <w:p w14:paraId="1B12749F" w14:textId="00A2A2CC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 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тромболитической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КСГ.</w:t>
      </w:r>
      <w:r>
        <w:rPr>
          <w:rStyle w:val="ab"/>
          <w:sz w:val="28"/>
        </w:rPr>
        <w:footnoteReference w:id="3"/>
      </w:r>
    </w:p>
    <w:p w14:paraId="028BA5AA" w14:textId="77777777" w:rsidR="00905D63" w:rsidRPr="00905D63" w:rsidRDefault="00905D63" w:rsidP="002503C1">
      <w:pPr>
        <w:ind w:firstLine="708"/>
        <w:jc w:val="both"/>
        <w:rPr>
          <w:strike/>
          <w:sz w:val="28"/>
        </w:rPr>
      </w:pPr>
    </w:p>
    <w:p w14:paraId="3429E790" w14:textId="77777777" w:rsidR="00084890" w:rsidRPr="00231E9A" w:rsidRDefault="00144DCD" w:rsidP="00144DCD">
      <w:pPr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 xml:space="preserve">7.1. </w:t>
      </w:r>
      <w:r w:rsidR="00084890" w:rsidRPr="00231E9A">
        <w:rPr>
          <w:strike/>
          <w:sz w:val="28"/>
          <w:szCs w:val="28"/>
        </w:rPr>
        <w:t>При формировании реестр</w:t>
      </w:r>
      <w:r w:rsidRPr="00231E9A">
        <w:rPr>
          <w:strike/>
          <w:sz w:val="28"/>
          <w:szCs w:val="28"/>
        </w:rPr>
        <w:t>ов</w:t>
      </w:r>
      <w:r w:rsidR="00084890" w:rsidRPr="00231E9A">
        <w:rPr>
          <w:strike/>
          <w:sz w:val="28"/>
          <w:szCs w:val="28"/>
        </w:rPr>
        <w:t xml:space="preserve"> счетов на оплату медицинской помощи</w:t>
      </w:r>
      <w:r w:rsidRPr="00231E9A">
        <w:rPr>
          <w:strike/>
          <w:sz w:val="28"/>
          <w:szCs w:val="28"/>
        </w:rPr>
        <w:t xml:space="preserve">, оказываемой в условиях </w:t>
      </w:r>
      <w:r w:rsidRPr="00231E9A">
        <w:rPr>
          <w:b/>
          <w:strike/>
          <w:sz w:val="28"/>
          <w:szCs w:val="28"/>
        </w:rPr>
        <w:t>дневного стационара,</w:t>
      </w:r>
      <w:r w:rsidR="00084890" w:rsidRPr="00231E9A">
        <w:rPr>
          <w:b/>
          <w:strike/>
          <w:sz w:val="28"/>
          <w:szCs w:val="28"/>
        </w:rPr>
        <w:t xml:space="preserve"> с применением методов диализа, </w:t>
      </w:r>
      <w:r w:rsidR="00084890" w:rsidRPr="00231E9A">
        <w:rPr>
          <w:strike/>
          <w:sz w:val="28"/>
          <w:szCs w:val="28"/>
        </w:rPr>
        <w:t>учитываются следующие особенности:</w:t>
      </w:r>
    </w:p>
    <w:p w14:paraId="46A547FE" w14:textId="77777777" w:rsidR="00084890" w:rsidRPr="00231E9A" w:rsidRDefault="00084890" w:rsidP="00084890">
      <w:pPr>
        <w:pStyle w:val="3"/>
        <w:spacing w:after="0"/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1) значение элемента «IDSP</w:t>
      </w:r>
      <w:r w:rsidR="00144DCD" w:rsidRPr="00231E9A">
        <w:rPr>
          <w:strike/>
          <w:sz w:val="28"/>
          <w:szCs w:val="28"/>
        </w:rPr>
        <w:t>»=</w:t>
      </w:r>
      <w:r w:rsidR="00546C93" w:rsidRPr="00231E9A">
        <w:rPr>
          <w:strike/>
          <w:sz w:val="28"/>
        </w:rPr>
        <w:t>33</w:t>
      </w:r>
      <w:r w:rsidRPr="00231E9A">
        <w:rPr>
          <w:strike/>
          <w:sz w:val="28"/>
        </w:rPr>
        <w:t>;</w:t>
      </w:r>
    </w:p>
    <w:p w14:paraId="4DC7BC74" w14:textId="77777777" w:rsidR="00084890" w:rsidRPr="00231E9A" w:rsidRDefault="00084890" w:rsidP="00084890">
      <w:pPr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2) в сведениях об услуге элемент «CODE_USL» заполняется кодами «</w:t>
      </w:r>
      <w:r w:rsidRPr="00231E9A">
        <w:rPr>
          <w:strike/>
          <w:sz w:val="28"/>
          <w:szCs w:val="28"/>
          <w:lang w:val="en-US"/>
        </w:rPr>
        <w:t>A</w:t>
      </w:r>
      <w:r w:rsidRPr="00231E9A">
        <w:rPr>
          <w:strike/>
          <w:sz w:val="28"/>
          <w:szCs w:val="28"/>
        </w:rPr>
        <w:t>18.05.002» при проведении гемодиализа, «А18.05.011» при проведении гемодиафильтрации. Элемент «KOL_US</w:t>
      </w:r>
      <w:r w:rsidRPr="00231E9A">
        <w:rPr>
          <w:strike/>
          <w:sz w:val="28"/>
          <w:szCs w:val="28"/>
          <w:lang w:val="en-US"/>
        </w:rPr>
        <w:t>L</w:t>
      </w:r>
      <w:r w:rsidRPr="00231E9A">
        <w:rPr>
          <w:strike/>
          <w:sz w:val="28"/>
          <w:szCs w:val="28"/>
        </w:rPr>
        <w:t>»  заполняется соответственно количеству выполненных услуг;</w:t>
      </w:r>
    </w:p>
    <w:p w14:paraId="02959E8A" w14:textId="2E6FBE26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231E9A">
        <w:rPr>
          <w:strike/>
          <w:sz w:val="28"/>
          <w:szCs w:val="28"/>
          <w:lang w:val="en-US"/>
        </w:rPr>
        <w:t>SUM</w:t>
      </w:r>
      <w:r w:rsidRPr="00231E9A">
        <w:rPr>
          <w:strike/>
          <w:sz w:val="28"/>
          <w:szCs w:val="28"/>
        </w:rPr>
        <w:t>_</w:t>
      </w:r>
      <w:r w:rsidRPr="00231E9A">
        <w:rPr>
          <w:strike/>
          <w:sz w:val="28"/>
          <w:szCs w:val="28"/>
          <w:lang w:val="en-US"/>
        </w:rPr>
        <w:t>M</w:t>
      </w:r>
      <w:r w:rsidRPr="00231E9A">
        <w:rPr>
          <w:strike/>
          <w:sz w:val="28"/>
          <w:szCs w:val="28"/>
        </w:rPr>
        <w:t>») определяется как  суммарная стоимость КСГ и услуг, заполненных в сведениях об услуге.</w:t>
      </w:r>
    </w:p>
    <w:p w14:paraId="267B9C70" w14:textId="77777777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7.1. Для КСГ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>36.008,</w:t>
      </w:r>
      <w:r w:rsidRPr="005E1A6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36.009,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36.010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«21» либо «3» может устанавливаться только в случаях применения классификационного критерия «</w:t>
      </w:r>
      <w:r>
        <w:rPr>
          <w:sz w:val="28"/>
          <w:lang w:val="en-US"/>
        </w:rPr>
        <w:t>gibp</w:t>
      </w:r>
      <w:r w:rsidRPr="001D23D4">
        <w:rPr>
          <w:sz w:val="28"/>
        </w:rPr>
        <w:t>04</w:t>
      </w:r>
      <w:r>
        <w:rPr>
          <w:sz w:val="28"/>
        </w:rPr>
        <w:t>», «</w:t>
      </w:r>
      <w:r>
        <w:rPr>
          <w:sz w:val="28"/>
          <w:lang w:val="en-US"/>
        </w:rPr>
        <w:t>gibp</w:t>
      </w:r>
      <w:r w:rsidRPr="001D23D4">
        <w:rPr>
          <w:sz w:val="28"/>
        </w:rPr>
        <w:t>0</w:t>
      </w:r>
      <w:r>
        <w:rPr>
          <w:sz w:val="28"/>
        </w:rPr>
        <w:t>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25»,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27» в сочетании с длительностью лечения менее 30 дней.</w:t>
      </w:r>
    </w:p>
    <w:p w14:paraId="6F2D38CB" w14:textId="74B5C3A8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Во всех остальных случаях для указанных КСГ устанавливается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«1». Учитывая, что классификационным критерием формирования указанных КСГ «</w:t>
      </w:r>
      <w:r>
        <w:rPr>
          <w:sz w:val="28"/>
          <w:lang w:val="en-US"/>
        </w:rPr>
        <w:t>gibp</w:t>
      </w:r>
      <w:r w:rsidRPr="001D23D4">
        <w:rPr>
          <w:sz w:val="28"/>
        </w:rPr>
        <w:t>0</w:t>
      </w:r>
      <w:r>
        <w:rPr>
          <w:sz w:val="28"/>
        </w:rPr>
        <w:t>1»–«</w:t>
      </w:r>
      <w:r>
        <w:rPr>
          <w:sz w:val="28"/>
          <w:lang w:val="en-US"/>
        </w:rPr>
        <w:t>gibp</w:t>
      </w:r>
      <w:r>
        <w:rPr>
          <w:sz w:val="28"/>
        </w:rPr>
        <w:t>03», «</w:t>
      </w:r>
      <w:r>
        <w:rPr>
          <w:sz w:val="28"/>
          <w:lang w:val="en-US"/>
        </w:rPr>
        <w:t>gibp</w:t>
      </w:r>
      <w:r w:rsidRPr="001D23D4">
        <w:rPr>
          <w:sz w:val="28"/>
        </w:rPr>
        <w:t>0</w:t>
      </w:r>
      <w:r>
        <w:rPr>
          <w:sz w:val="28"/>
        </w:rPr>
        <w:t>6»–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24», «</w:t>
      </w:r>
      <w:r>
        <w:rPr>
          <w:sz w:val="28"/>
          <w:lang w:val="en-US"/>
        </w:rPr>
        <w:t>gibp</w:t>
      </w:r>
      <w:r>
        <w:rPr>
          <w:sz w:val="28"/>
        </w:rPr>
        <w:t>26», «</w:t>
      </w:r>
      <w:r>
        <w:rPr>
          <w:sz w:val="28"/>
          <w:lang w:val="en-US"/>
        </w:rPr>
        <w:t>gibp</w:t>
      </w:r>
      <w:r>
        <w:rPr>
          <w:sz w:val="28"/>
        </w:rPr>
        <w:t>28»–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gibp</w:t>
      </w:r>
      <w:r>
        <w:rPr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>
        <w:rPr>
          <w:rStyle w:val="ab"/>
          <w:sz w:val="28"/>
        </w:rPr>
        <w:footnoteReference w:id="4"/>
      </w:r>
    </w:p>
    <w:p w14:paraId="0FDE85F5" w14:textId="77777777" w:rsidR="00231E9A" w:rsidRPr="00231E9A" w:rsidRDefault="00231E9A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</w:p>
    <w:p w14:paraId="0CEAC473" w14:textId="3DA08341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lastRenderedPageBreak/>
        <w:t>7.</w:t>
      </w:r>
      <w:r w:rsidR="00F869FE">
        <w:rPr>
          <w:sz w:val="28"/>
          <w:szCs w:val="28"/>
        </w:rPr>
        <w:t>2</w:t>
      </w:r>
      <w:r w:rsidRPr="00004CFF">
        <w:rPr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Excel,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A504E48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398E01FB" w14:textId="4D1905E3" w:rsidR="00E57B51" w:rsidRDefault="00F869FE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П</w:t>
      </w:r>
      <w:r w:rsidR="00E57B51" w:rsidRPr="00A90836">
        <w:rPr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2D7D0898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</w:t>
      </w:r>
      <w:r w:rsidRPr="00004CFF">
        <w:rPr>
          <w:color w:val="auto"/>
          <w:sz w:val="28"/>
          <w:szCs w:val="28"/>
        </w:rPr>
        <w:lastRenderedPageBreak/>
        <w:t>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3D1CAB97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«IDSP»=</w:t>
      </w:r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>» по каждой строке отражается сумма с учетом К</w:t>
      </w:r>
      <w:r>
        <w:rPr>
          <w:color w:val="auto"/>
          <w:sz w:val="28"/>
          <w:szCs w:val="28"/>
        </w:rPr>
        <w:t>фп/фап</w:t>
      </w:r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74DF9F3B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F869FE">
        <w:rPr>
          <w:sz w:val="28"/>
          <w:szCs w:val="28"/>
        </w:rPr>
        <w:t>2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2C377980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F869FE">
        <w:rPr>
          <w:sz w:val="28"/>
        </w:rPr>
        <w:t>2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1EBA9E42" w14:textId="486399D4" w:rsidR="00E33BD8" w:rsidRDefault="00E33BD8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 w:rsidR="001E58CE">
        <w:t>/</w:t>
      </w:r>
      <w:r>
        <w:t>2022 от 31.03.2022</w:t>
      </w:r>
      <w:r w:rsidR="001E58CE">
        <w:t xml:space="preserve"> г.</w:t>
      </w:r>
      <w:r>
        <w:t xml:space="preserve"> с 01.02.202</w:t>
      </w:r>
      <w:r w:rsidR="00CA2C1A">
        <w:t>2</w:t>
      </w:r>
      <w:r w:rsidR="001E58CE">
        <w:t xml:space="preserve"> </w:t>
      </w:r>
      <w:r>
        <w:t>г.</w:t>
      </w:r>
    </w:p>
  </w:footnote>
  <w:footnote w:id="2">
    <w:p w14:paraId="00B798CE" w14:textId="21FEA7B4" w:rsidR="00CA2C1A" w:rsidRDefault="00CA2C1A">
      <w:pPr>
        <w:pStyle w:val="a9"/>
      </w:pPr>
      <w:r>
        <w:rPr>
          <w:rStyle w:val="ab"/>
        </w:rPr>
        <w:footnoteRef/>
      </w:r>
      <w:r>
        <w:t xml:space="preserve"> </w:t>
      </w:r>
      <w:r w:rsidR="001E58CE">
        <w:t xml:space="preserve">В редакции Порядка </w:t>
      </w:r>
      <w:r w:rsidR="00156705">
        <w:t>3</w:t>
      </w:r>
      <w:r w:rsidR="001E58CE">
        <w:t>/2022 от 31.03.2022 г. с 01.02.2022 г.</w:t>
      </w:r>
    </w:p>
  </w:footnote>
  <w:footnote w:id="3">
    <w:p w14:paraId="7A4C1B89" w14:textId="291EFD05" w:rsidR="00905D63" w:rsidRDefault="00905D63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01.02.2022 г.</w:t>
      </w:r>
    </w:p>
  </w:footnote>
  <w:footnote w:id="4">
    <w:p w14:paraId="7C1FF4CC" w14:textId="5BDF92C5" w:rsidR="00231E9A" w:rsidRDefault="00231E9A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01.01.2022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20DDE"/>
    <w:rsid w:val="00136872"/>
    <w:rsid w:val="00143FFE"/>
    <w:rsid w:val="00144DCD"/>
    <w:rsid w:val="001463C0"/>
    <w:rsid w:val="00156705"/>
    <w:rsid w:val="00161DE2"/>
    <w:rsid w:val="00172BB9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45F4"/>
    <w:rsid w:val="0073601E"/>
    <w:rsid w:val="007452DA"/>
    <w:rsid w:val="00763B4E"/>
    <w:rsid w:val="007C43AD"/>
    <w:rsid w:val="008012E2"/>
    <w:rsid w:val="00817380"/>
    <w:rsid w:val="00821909"/>
    <w:rsid w:val="0082279F"/>
    <w:rsid w:val="00831E9D"/>
    <w:rsid w:val="00853CFC"/>
    <w:rsid w:val="008613E0"/>
    <w:rsid w:val="008A7604"/>
    <w:rsid w:val="008B7274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CA2C1A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3BD8"/>
    <w:rsid w:val="00E34932"/>
    <w:rsid w:val="00E4096D"/>
    <w:rsid w:val="00E57B51"/>
    <w:rsid w:val="00E853C2"/>
    <w:rsid w:val="00E92C1F"/>
    <w:rsid w:val="00E94435"/>
    <w:rsid w:val="00E952C5"/>
    <w:rsid w:val="00E972F0"/>
    <w:rsid w:val="00EA7E53"/>
    <w:rsid w:val="00EE0249"/>
    <w:rsid w:val="00EF11A4"/>
    <w:rsid w:val="00EF36DE"/>
    <w:rsid w:val="00EF7846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D790-75DE-4FB9-8F98-06501746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27</Pages>
  <Words>10244</Words>
  <Characters>58391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67</cp:revision>
  <cp:lastPrinted>2019-02-03T21:39:00Z</cp:lastPrinted>
  <dcterms:created xsi:type="dcterms:W3CDTF">2015-02-20T20:24:00Z</dcterms:created>
  <dcterms:modified xsi:type="dcterms:W3CDTF">2022-04-06T23:49:00Z</dcterms:modified>
</cp:coreProperties>
</file>